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3420B9" w:rsidRDefault="009B030D" w:rsidP="003420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957C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420B9">
        <w:rPr>
          <w:rFonts w:ascii="Times New Roman" w:hAnsi="Times New Roman" w:cs="Times New Roman"/>
          <w:b/>
          <w:sz w:val="24"/>
          <w:szCs w:val="24"/>
        </w:rPr>
        <w:t>5188</w:t>
      </w:r>
      <w:r w:rsidR="007B5E73" w:rsidRPr="007B5E73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поставки </w:t>
      </w:r>
      <w:r w:rsidR="003420B9">
        <w:rPr>
          <w:rFonts w:ascii="Times New Roman" w:hAnsi="Times New Roman" w:cs="Times New Roman"/>
          <w:b/>
          <w:sz w:val="24"/>
          <w:szCs w:val="24"/>
        </w:rPr>
        <w:t>морских разрывны</w:t>
      </w:r>
      <w:r w:rsidR="003420B9" w:rsidRPr="00461DC4">
        <w:rPr>
          <w:rFonts w:ascii="Times New Roman" w:hAnsi="Times New Roman" w:cs="Times New Roman"/>
          <w:b/>
          <w:sz w:val="24"/>
          <w:szCs w:val="24"/>
        </w:rPr>
        <w:t>х соедине</w:t>
      </w:r>
      <w:r w:rsidR="003420B9">
        <w:rPr>
          <w:rFonts w:ascii="Times New Roman" w:hAnsi="Times New Roman" w:cs="Times New Roman"/>
          <w:b/>
          <w:sz w:val="24"/>
          <w:szCs w:val="24"/>
        </w:rPr>
        <w:t>ний для Морского терминала АО "</w:t>
      </w:r>
      <w:r w:rsidR="003420B9" w:rsidRPr="00461DC4">
        <w:rPr>
          <w:rFonts w:ascii="Times New Roman" w:hAnsi="Times New Roman" w:cs="Times New Roman"/>
          <w:b/>
          <w:sz w:val="24"/>
          <w:szCs w:val="24"/>
        </w:rPr>
        <w:t>КТК-Р"</w:t>
      </w:r>
      <w:r w:rsidR="000D21A1" w:rsidRPr="000D21A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Hereby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,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invites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7B5E73" w:rsidRPr="003420B9">
        <w:rPr>
          <w:rFonts w:ascii="Times New Roman" w:hAnsi="Times New Roman" w:cs="Times New Roman"/>
          <w:sz w:val="24"/>
          <w:szCs w:val="24"/>
        </w:rPr>
        <w:t xml:space="preserve"> # 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>5188</w:t>
      </w:r>
      <w:r w:rsidR="007B5E73" w:rsidRPr="003420B9">
        <w:rPr>
          <w:rFonts w:ascii="Times New Roman" w:hAnsi="Times New Roman" w:cs="Times New Roman"/>
          <w:b/>
          <w:sz w:val="24"/>
          <w:szCs w:val="24"/>
        </w:rPr>
        <w:t>-</w:t>
      </w:r>
      <w:r w:rsidR="007B5E73" w:rsidRPr="007B5E73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976708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7B5E73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5957C8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C8" w:rsidRPr="007B5E73">
        <w:rPr>
          <w:rFonts w:ascii="Times New Roman" w:hAnsi="Times New Roman" w:cs="Times New Roman"/>
          <w:b/>
          <w:sz w:val="24"/>
          <w:szCs w:val="24"/>
          <w:lang w:val="en-US"/>
        </w:rPr>
        <w:t>agreement</w:t>
      </w:r>
      <w:r w:rsidR="005957C8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C8" w:rsidRPr="007B5E73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  <w:r w:rsidR="005957C8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C8" w:rsidRPr="007B5E73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5957C8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C8" w:rsidRPr="007B5E73">
        <w:rPr>
          <w:rFonts w:ascii="Times New Roman" w:hAnsi="Times New Roman" w:cs="Times New Roman"/>
          <w:b/>
          <w:sz w:val="24"/>
          <w:szCs w:val="24"/>
          <w:lang w:val="en-US"/>
        </w:rPr>
        <w:t>supply</w:t>
      </w:r>
      <w:r w:rsidR="005957C8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E73" w:rsidRPr="007B5E73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B9" w:rsidRPr="003420B9">
        <w:rPr>
          <w:rFonts w:ascii="Times New Roman" w:hAnsi="Times New Roman" w:cs="Times New Roman"/>
          <w:b/>
          <w:sz w:val="24"/>
          <w:szCs w:val="24"/>
          <w:lang w:val="en-US"/>
        </w:rPr>
        <w:t>marine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B9" w:rsidRPr="003420B9">
        <w:rPr>
          <w:rFonts w:ascii="Times New Roman" w:hAnsi="Times New Roman" w:cs="Times New Roman"/>
          <w:b/>
          <w:sz w:val="24"/>
          <w:szCs w:val="24"/>
          <w:lang w:val="en-US"/>
        </w:rPr>
        <w:t>breakaway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B9" w:rsidRPr="003420B9">
        <w:rPr>
          <w:rFonts w:ascii="Times New Roman" w:hAnsi="Times New Roman" w:cs="Times New Roman"/>
          <w:b/>
          <w:sz w:val="24"/>
          <w:szCs w:val="24"/>
          <w:lang w:val="en-US"/>
        </w:rPr>
        <w:t>couplings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B9" w:rsidRPr="003420B9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B9" w:rsidRPr="007B5E73">
        <w:rPr>
          <w:rFonts w:ascii="Times New Roman" w:hAnsi="Times New Roman" w:cs="Times New Roman"/>
          <w:b/>
          <w:sz w:val="24"/>
          <w:szCs w:val="24"/>
          <w:lang w:val="en-US"/>
        </w:rPr>
        <w:t>Marine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B9" w:rsidRPr="007B5E73">
        <w:rPr>
          <w:rFonts w:ascii="Times New Roman" w:hAnsi="Times New Roman" w:cs="Times New Roman"/>
          <w:b/>
          <w:sz w:val="24"/>
          <w:szCs w:val="24"/>
          <w:lang w:val="en-US"/>
        </w:rPr>
        <w:t>Terminal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B9" w:rsidRPr="003420B9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B9" w:rsidRPr="003420B9">
        <w:rPr>
          <w:rFonts w:ascii="Times New Roman" w:hAnsi="Times New Roman" w:cs="Times New Roman"/>
          <w:b/>
          <w:sz w:val="24"/>
          <w:szCs w:val="24"/>
          <w:lang w:val="en-US"/>
        </w:rPr>
        <w:t>CPC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>-</w:t>
      </w:r>
      <w:r w:rsidR="003420B9" w:rsidRPr="003420B9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976708" w:rsidRPr="003420B9">
        <w:rPr>
          <w:rFonts w:ascii="Times New Roman" w:hAnsi="Times New Roman" w:cs="Times New Roman"/>
          <w:b/>
          <w:sz w:val="24"/>
          <w:szCs w:val="24"/>
        </w:rPr>
        <w:t>.</w:t>
      </w:r>
    </w:p>
    <w:p w:rsidR="00FD4DF6" w:rsidRPr="003420B9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3420B9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3420B9">
        <w:rPr>
          <w:rFonts w:ascii="Times New Roman" w:hAnsi="Times New Roman" w:cs="Times New Roman"/>
          <w:sz w:val="24"/>
          <w:szCs w:val="24"/>
        </w:rPr>
        <w:t>,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3420B9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suggests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prepared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3420B9">
        <w:rPr>
          <w:rFonts w:ascii="Times New Roman" w:hAnsi="Times New Roman" w:cs="Times New Roman"/>
          <w:sz w:val="24"/>
          <w:szCs w:val="24"/>
        </w:rPr>
        <w:t>.</w:t>
      </w:r>
    </w:p>
    <w:p w:rsidR="00AC0C45" w:rsidRPr="00502287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AC0C45" w:rsidRPr="00502287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AC0C45" w:rsidRPr="00502287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AC0C45" w:rsidRPr="00AC0C45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C0C45">
        <w:rPr>
          <w:rFonts w:ascii="Times New Roman" w:hAnsi="Times New Roman" w:cs="Times New Roman"/>
          <w:color w:val="FF0000"/>
          <w:sz w:val="24"/>
          <w:szCs w:val="24"/>
          <w:lang w:val="en-US"/>
        </w:rPr>
        <w:t>ATTENTION!</w:t>
      </w:r>
    </w:p>
    <w:p w:rsidR="00AC0C45" w:rsidRPr="00AC0C45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C0C45">
        <w:rPr>
          <w:rFonts w:ascii="Times New Roman" w:hAnsi="Times New Roman" w:cs="Times New Roman"/>
          <w:color w:val="FF0000"/>
          <w:sz w:val="24"/>
          <w:szCs w:val="24"/>
          <w:lang w:val="en-US"/>
        </w:rPr>
        <w:t>This two-stage tender is a Type 2 tender:</w:t>
      </w:r>
    </w:p>
    <w:p w:rsidR="00AC0C45" w:rsidRPr="00AC0C45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C0C45">
        <w:rPr>
          <w:rFonts w:ascii="Times New Roman" w:hAnsi="Times New Roman" w:cs="Times New Roman"/>
          <w:color w:val="FF0000"/>
          <w:sz w:val="24"/>
          <w:szCs w:val="24"/>
          <w:lang w:val="en-US"/>
        </w:rPr>
        <w:t>Type 2 - with a parallel evaluation of the pre-qualification part and the technical part of the tender offer - at the first stage, the participant submits an electronic version of the pre-qualification application and the technical part of the tender offer, at the second stage - the electronic version of the commercial part of the tender offer. Tender participants are invited to the second stage additionally (based on the results of the pre-qualification and technical evaluation of the tender offer).</w:t>
      </w:r>
    </w:p>
    <w:p w:rsidR="00AC0C45" w:rsidRPr="00AC0C45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1F5007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1F5007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B5E73" w:rsidRDefault="007B5E73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r w:rsidRPr="007B5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Is to specify by counterpart</w:t>
            </w:r>
            <w:r w:rsidR="00CB7A1E" w:rsidRPr="007B5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7B5E7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487078" w:rsidRPr="001F5007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1F5007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903ACF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042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042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1F5007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1F5007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Bank guarantee or other types of securing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1F5007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AC0C45" w:rsidP="0073665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AC0C45" w:rsidRPr="00AC0C45" w:rsidRDefault="00AC0C4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C4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ATTENTION! At the first stage of the tender, the participant submits an electronic version of the prequalification application and the technical part of the tender proposal.</w:t>
            </w:r>
          </w:p>
        </w:tc>
      </w:tr>
      <w:tr w:rsidR="000F3868" w:rsidRPr="001F5007" w:rsidTr="00736653">
        <w:tc>
          <w:tcPr>
            <w:tcW w:w="4253" w:type="dxa"/>
            <w:shd w:val="clear" w:color="auto" w:fill="auto"/>
            <w:vAlign w:val="center"/>
          </w:tcPr>
          <w:p w:rsidR="000F3868" w:rsidRPr="000426A0" w:rsidRDefault="000426A0" w:rsidP="000426A0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0426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="00C9384A"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420B9" w:rsidRPr="003420B9" w:rsidRDefault="00E4770A" w:rsidP="003420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 на оборудование представлено</w:t>
            </w:r>
            <w:r w:rsidR="003420B9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№6 пакета тендерной документации.</w:t>
            </w:r>
          </w:p>
          <w:p w:rsidR="003420B9" w:rsidRPr="003420B9" w:rsidRDefault="003420B9" w:rsidP="003420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Перечень требуемой документации:</w:t>
            </w:r>
          </w:p>
          <w:p w:rsidR="000F3868" w:rsidRDefault="003420B9" w:rsidP="003420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Паспорт, Руководство по эксплуатации, установке, демонтажу и хранению. МРС должны изготавливаться и тестироваться под наблюдением АВS или Российского морского регистра судоходства (РС, Регистр), с выдачей соответствующего сертификата.</w:t>
            </w:r>
          </w:p>
          <w:p w:rsidR="003420B9" w:rsidRPr="003420B9" w:rsidRDefault="003420B9" w:rsidP="003420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description is included in the Exhibit # </w:t>
            </w:r>
            <w:r w:rsidR="00394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  <w:p w:rsidR="003420B9" w:rsidRPr="003420B9" w:rsidRDefault="003420B9" w:rsidP="003420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of required documentation:</w:t>
            </w:r>
          </w:p>
          <w:p w:rsidR="003420B9" w:rsidRPr="003420B9" w:rsidRDefault="003420B9" w:rsidP="003420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</w:t>
            </w:r>
            <w:r w:rsidRPr="0034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assport, Operation, installation, dismantling and storage manual.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34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must be manufactured and tested under the supervision of ABS or the Russian Maritime Register of Shipping (RS, Register), with the issuance of an appropriate certificate.</w:t>
            </w:r>
          </w:p>
        </w:tc>
      </w:tr>
      <w:tr w:rsidR="00E16E61" w:rsidRPr="001F5007" w:rsidTr="00736653">
        <w:tc>
          <w:tcPr>
            <w:tcW w:w="4253" w:type="dxa"/>
            <w:shd w:val="clear" w:color="auto" w:fill="auto"/>
            <w:vAlign w:val="center"/>
          </w:tcPr>
          <w:p w:rsidR="00E16E61" w:rsidRPr="00C9384A" w:rsidRDefault="001F5032" w:rsidP="0066616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9838BB" w:rsidRDefault="009838BB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297BE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="00042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# </w:t>
            </w:r>
            <w:r w:rsidR="00042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F500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F500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7C8" w:rsidRPr="001F5007" w:rsidTr="00736653">
        <w:tc>
          <w:tcPr>
            <w:tcW w:w="4253" w:type="dxa"/>
            <w:shd w:val="clear" w:color="auto" w:fill="auto"/>
            <w:vAlign w:val="center"/>
          </w:tcPr>
          <w:p w:rsidR="005957C8" w:rsidRPr="001E7790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57C8" w:rsidRPr="003B4BB1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115093, г. Москва, ул. Павловская, д. 7, стр. 1, Бизнес Центр «Павловский», для Секретаря </w:t>
            </w:r>
            <w:r w:rsidRPr="006A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Тендерного Совета./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3B4B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3B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3B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3B4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7C8" w:rsidRPr="00694C3E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94C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770A">
              <w:rPr>
                <w:rFonts w:ascii="Times New Roman" w:hAnsi="Times New Roman" w:cs="Times New Roman"/>
                <w:i/>
                <w:color w:val="FF0000"/>
                <w:u w:val="single"/>
              </w:rPr>
              <w:t>П</w:t>
            </w:r>
            <w:r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5957C8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94C3E">
              <w:rPr>
                <w:rFonts w:ascii="Times New Roman" w:hAnsi="Times New Roman" w:cs="Times New Roman"/>
                <w:i/>
                <w:color w:val="FF0000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  <w:p w:rsidR="009960AD" w:rsidRPr="009960AD" w:rsidRDefault="009960AD" w:rsidP="009960AD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1F5007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E4770A">
              <w:rPr>
                <w:rFonts w:ascii="Times New Roman" w:hAnsi="Times New Roman" w:cs="Times New Roman"/>
                <w:i/>
                <w:color w:val="FF0000"/>
                <w:lang w:val="en-US"/>
              </w:rPr>
              <w:t>(T</w:t>
            </w:r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he bids under this tender will be accepted in electronic format only.</w:t>
            </w:r>
          </w:p>
          <w:p w:rsidR="009960AD" w:rsidRPr="009960AD" w:rsidRDefault="009960AD" w:rsidP="009960AD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The remote work procedure is described in the Instruction for submission via e-mail, attached as a separate file in the bottom of the tender card).</w:t>
            </w:r>
          </w:p>
          <w:p w:rsidR="009960AD" w:rsidRPr="009960AD" w:rsidRDefault="009960AD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4C4E" w:rsidRPr="00F06A16" w:rsidTr="00736653">
        <w:tc>
          <w:tcPr>
            <w:tcW w:w="4253" w:type="dxa"/>
            <w:shd w:val="clear" w:color="auto" w:fill="auto"/>
            <w:vAlign w:val="center"/>
          </w:tcPr>
          <w:p w:rsidR="00394C4E" w:rsidRPr="0055385B" w:rsidRDefault="00394C4E" w:rsidP="00394C4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94C4E" w:rsidRPr="00D6363F" w:rsidRDefault="00394C4E" w:rsidP="00394C4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.07.2022-</w:t>
            </w:r>
            <w:r w:rsidR="001F5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C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90" w:rsidRDefault="001B3490" w:rsidP="00D408E3">
      <w:pPr>
        <w:spacing w:before="0" w:after="0" w:line="240" w:lineRule="auto"/>
      </w:pPr>
      <w:r>
        <w:separator/>
      </w:r>
    </w:p>
  </w:endnote>
  <w:endnote w:type="continuationSeparator" w:id="0">
    <w:p w:rsidR="001B3490" w:rsidRDefault="001B349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500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5007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90" w:rsidRDefault="001B3490" w:rsidP="00D408E3">
      <w:pPr>
        <w:spacing w:before="0" w:after="0" w:line="240" w:lineRule="auto"/>
      </w:pPr>
      <w:r>
        <w:separator/>
      </w:r>
    </w:p>
  </w:footnote>
  <w:footnote w:type="continuationSeparator" w:id="0">
    <w:p w:rsidR="001B3490" w:rsidRDefault="001B349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26A0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490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07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5EDD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20B9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4C4E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B5E73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C45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3877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40F2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426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39AF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4770A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5CE64D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927FF1-9185-4B6A-9233-917B032D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46</cp:revision>
  <cp:lastPrinted>2017-03-07T10:36:00Z</cp:lastPrinted>
  <dcterms:created xsi:type="dcterms:W3CDTF">2014-12-09T16:06:00Z</dcterms:created>
  <dcterms:modified xsi:type="dcterms:W3CDTF">2022-09-09T12:29:00Z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